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CD601" w14:textId="0348173F" w:rsidR="00AC2355" w:rsidRPr="00C20CDE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  <w:r w:rsidR="000E0F62" w:rsidRPr="00C20CDE">
        <w:rPr>
          <w:rFonts w:eastAsia="Calibri"/>
          <w:bCs w:val="0"/>
          <w:sz w:val="20"/>
          <w:szCs w:val="20"/>
          <w:highlight w:val="yellow"/>
        </w:rPr>
        <w:t>.....</w:t>
      </w:r>
    </w:p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0D099788" w:rsidR="001A3BA1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</w:t>
      </w:r>
      <w:r w:rsidR="00E0593B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criteriile din prezenta grilă.</w:t>
      </w:r>
    </w:p>
    <w:p w14:paraId="30B6DA24" w14:textId="5A9D7238" w:rsidR="002817C6" w:rsidRPr="002817C6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>În cazul bifării c</w:t>
      </w:r>
      <w:r w:rsidR="00E0593B">
        <w:rPr>
          <w:rFonts w:ascii="Trebuchet MS" w:hAnsi="Trebuchet MS" w:cs="Arial"/>
          <w:sz w:val="20"/>
          <w:szCs w:val="20"/>
          <w:lang w:val="ro-RO"/>
        </w:rPr>
        <w:t>u NU la oricare dintre</w:t>
      </w:r>
      <w:bookmarkStart w:id="3" w:name="_GoBack"/>
      <w:bookmarkEnd w:id="3"/>
      <w:r w:rsidRPr="002817C6">
        <w:rPr>
          <w:rFonts w:ascii="Trebuchet MS" w:hAnsi="Trebuchet MS" w:cs="Arial"/>
          <w:sz w:val="20"/>
          <w:szCs w:val="20"/>
          <w:lang w:val="ro-RO"/>
        </w:rPr>
        <w:t xml:space="preserve"> criterii, proiectul nu se va respinge, se vor cere clarificări, în funcție de prevederile ghidului specific și –dupa caz- se vor formula recomandări de îmbunătățire a documentației tehnico-economice astfel încât toate criteriile din grilă să fie bifate cu </w:t>
      </w:r>
      <w:r w:rsidRPr="002817C6">
        <w:rPr>
          <w:rFonts w:ascii="Trebuchet MS" w:hAnsi="Trebuchet MS" w:cs="Arial"/>
          <w:b/>
          <w:sz w:val="20"/>
          <w:szCs w:val="20"/>
          <w:lang w:val="ro-RO"/>
        </w:rPr>
        <w:t>DA</w:t>
      </w:r>
      <w:r w:rsidRPr="002817C6">
        <w:rPr>
          <w:rFonts w:ascii="Trebuchet MS" w:hAnsi="Trebuchet MS" w:cs="Arial"/>
          <w:sz w:val="20"/>
          <w:szCs w:val="20"/>
          <w:lang w:val="ro-RO"/>
        </w:rPr>
        <w:t>. Proiectul se va puncta în baza documentației tehnico-economice anexată la depunerea cererii de finanțare și nu în urma clarificărilor.</w:t>
      </w:r>
    </w:p>
    <w:p w14:paraId="4E0A9AD5" w14:textId="71DB6D2B" w:rsidR="002817C6" w:rsidRPr="00C20CDE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E4A2" w14:textId="77777777" w:rsidR="00D37C0A" w:rsidRDefault="00D37C0A" w:rsidP="002164BC">
      <w:pPr>
        <w:spacing w:after="0" w:line="240" w:lineRule="auto"/>
      </w:pPr>
      <w:r>
        <w:separator/>
      </w:r>
    </w:p>
  </w:endnote>
  <w:endnote w:type="continuationSeparator" w:id="0">
    <w:p w14:paraId="6D0FB16C" w14:textId="77777777" w:rsidR="00D37C0A" w:rsidRDefault="00D37C0A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93B">
      <w:rPr>
        <w:rStyle w:val="PageNumber"/>
        <w:noProof/>
      </w:rPr>
      <w:t>5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BB551" w14:textId="77777777" w:rsidR="00D37C0A" w:rsidRDefault="00D37C0A" w:rsidP="002164BC">
      <w:pPr>
        <w:spacing w:after="0" w:line="240" w:lineRule="auto"/>
      </w:pPr>
      <w:r>
        <w:separator/>
      </w:r>
    </w:p>
  </w:footnote>
  <w:footnote w:type="continuationSeparator" w:id="0">
    <w:p w14:paraId="0E4AC63D" w14:textId="77777777" w:rsidR="00D37C0A" w:rsidRDefault="00D37C0A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7C6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37C0A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0593B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F5325-7268-47D8-9D71-5A594639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2300</Words>
  <Characters>13114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Ovidiu PANAITE</cp:lastModifiedBy>
  <cp:revision>7</cp:revision>
  <cp:lastPrinted>2017-11-17T10:06:00Z</cp:lastPrinted>
  <dcterms:created xsi:type="dcterms:W3CDTF">2017-03-09T10:23:00Z</dcterms:created>
  <dcterms:modified xsi:type="dcterms:W3CDTF">2017-11-17T10:06:00Z</dcterms:modified>
</cp:coreProperties>
</file>